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tyles+xml" PartName="/word/style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ISTITUTO PROFESSIONALE DI STATO PER L'INDUSTRIA E L'ARTIGIANATO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G. Mazzini, 2 - 89048 SIDERNO (RC) - tel. 0964 040834 - fax 0964 048033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www.ipsiasiderno.it - sede@ipsiasiderno.it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65f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65f91"/>
          <w:sz w:val="20"/>
          <w:szCs w:val="20"/>
          <w:u w:val="none"/>
          <w:shd w:fill="auto" w:val="clear"/>
          <w:vertAlign w:val="baseline"/>
          <w:rtl w:val="0"/>
        </w:rPr>
        <w:t xml:space="preserve">ANNO SCOLASTICO </w:t>
        <w:tab/>
        <w:t xml:space="preserve">2019/2020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Materia </w:t>
        <w:tab/>
      </w:r>
      <w:r w:rsidDel="00000000" w:rsidR="00000000" w:rsidRPr="00000000">
        <w:rPr>
          <w:rtl w:val="0"/>
        </w:rPr>
        <w:t xml:space="preserve"> L T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tl w:val="0"/>
        </w:rPr>
        <w:t xml:space="preserve">lasse.3^ 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Docente</w:t>
        <w:tab/>
        <w:tab/>
        <w:tab/>
        <w:t xml:space="preserve">Prof. Maurizio Gallo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PROGRAMMA EFFETTIVAMENTE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Premessa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Nel pieno rispetto dei piani di lavoro individuali, della programmazione educativa dei Consigli di classe, del gruppo classe e dei relativi tempi di apprendimento, della frequenza degli alunni alle attività didattiche, nonché della libertà individuale d’insegnamento, si riporta la seguente scansione annuale del Programma effettivamente svolto dalla classe</w:t>
      </w:r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                           METROLOGIA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-Le unità di misura fondamentali del sistema internazionale(SI).                                                       -Metodi e strumenti di misurazione.  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  -Caratteristiche degli strumenti di misura.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Strumenti per la misura delle lunghezze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calibri </w:t>
      </w:r>
      <w:r w:rsidDel="00000000" w:rsidR="00000000" w:rsidRPr="00000000">
        <w:rPr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micrometri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Strumenti di misura e controllo: il comparatore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-Grandezze e unita' di misura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-Grandezze fondamentali.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-Grandezze derivate.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-Multipli e sottomultipli.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            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                 PROPRIETÀ DEI MATERIALI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-Proprietà fisiche e chimiche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-Proprietà meccaniche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-Proprietà tecnologiche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-Densità e dilatazione termica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-Temperatura di fusione e conduttività termica.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                          Motori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-Fasi del motore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-Organi fissi e mobili del motore.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-Scheda A-B raffiguranti organi del motore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-Organi che costituiscono unimpianto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 di accensione.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-Ciclo teorico di un motore.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Siderno, giugno 2020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9" w:right="0" w:hanging="72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9" w:right="0" w:hanging="72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49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docente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9" w:right="0" w:hanging="720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                                                         Gallo Maurizio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969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1134" w:top="993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